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Исполнение доходов бю</w:t>
      </w:r>
      <w:r w:rsidR="000559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джета города Минусинска на 01.</w:t>
      </w:r>
      <w:r w:rsidR="00AE11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</w:t>
      </w:r>
      <w:r w:rsidR="006C1D4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8</w:t>
      </w:r>
      <w:r w:rsidR="00C120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.202</w:t>
      </w:r>
      <w:r w:rsidR="009571CF" w:rsidRPr="009571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</w:t>
      </w: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</w:p>
    <w:p w:rsid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 xml:space="preserve"> тыс. рублей</w:t>
      </w:r>
    </w:p>
    <w:p w:rsidR="007420C2" w:rsidRPr="009571CF" w:rsidRDefault="007420C2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14"/>
          <w:szCs w:val="18"/>
          <w:lang w:eastAsia="ru-RU"/>
        </w:rPr>
      </w:pPr>
    </w:p>
    <w:tbl>
      <w:tblPr>
        <w:tblW w:w="4972" w:type="pct"/>
        <w:tblLook w:val="04A0"/>
      </w:tblPr>
      <w:tblGrid>
        <w:gridCol w:w="937"/>
        <w:gridCol w:w="917"/>
        <w:gridCol w:w="936"/>
        <w:gridCol w:w="1096"/>
        <w:gridCol w:w="1096"/>
        <w:gridCol w:w="1096"/>
        <w:gridCol w:w="976"/>
        <w:gridCol w:w="804"/>
        <w:gridCol w:w="997"/>
        <w:gridCol w:w="911"/>
        <w:gridCol w:w="828"/>
        <w:gridCol w:w="895"/>
      </w:tblGrid>
      <w:tr w:rsidR="001C6D45" w:rsidRPr="001C6D45" w:rsidTr="001C6D45">
        <w:trPr>
          <w:trHeight w:val="390"/>
        </w:trPr>
        <w:tc>
          <w:tcPr>
            <w:tcW w:w="417" w:type="pct"/>
            <w:tcBorders>
              <w:top w:val="single" w:sz="8" w:space="0" w:color="0066CC"/>
              <w:left w:val="nil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Январь</w:t>
            </w:r>
          </w:p>
        </w:tc>
        <w:tc>
          <w:tcPr>
            <w:tcW w:w="408" w:type="pct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Февраль</w:t>
            </w:r>
          </w:p>
        </w:tc>
        <w:tc>
          <w:tcPr>
            <w:tcW w:w="407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Март</w:t>
            </w:r>
          </w:p>
        </w:tc>
        <w:tc>
          <w:tcPr>
            <w:tcW w:w="486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</w:t>
            </w:r>
          </w:p>
        </w:tc>
        <w:tc>
          <w:tcPr>
            <w:tcW w:w="486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</w:t>
            </w:r>
          </w:p>
        </w:tc>
        <w:tc>
          <w:tcPr>
            <w:tcW w:w="486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</w:t>
            </w:r>
          </w:p>
        </w:tc>
        <w:tc>
          <w:tcPr>
            <w:tcW w:w="335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</w:t>
            </w:r>
          </w:p>
        </w:tc>
        <w:tc>
          <w:tcPr>
            <w:tcW w:w="359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</w:t>
            </w:r>
          </w:p>
        </w:tc>
        <w:tc>
          <w:tcPr>
            <w:tcW w:w="443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Сентябрь</w:t>
            </w:r>
          </w:p>
        </w:tc>
        <w:tc>
          <w:tcPr>
            <w:tcW w:w="405" w:type="pct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Октябрь</w:t>
            </w:r>
          </w:p>
        </w:tc>
        <w:tc>
          <w:tcPr>
            <w:tcW w:w="369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Ноябрь</w:t>
            </w:r>
          </w:p>
        </w:tc>
        <w:tc>
          <w:tcPr>
            <w:tcW w:w="398" w:type="pct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Декабрь</w:t>
            </w:r>
          </w:p>
        </w:tc>
      </w:tr>
      <w:tr w:rsidR="001C6D45" w:rsidRPr="001C6D45" w:rsidTr="001C6D45">
        <w:trPr>
          <w:trHeight w:val="390"/>
        </w:trPr>
        <w:tc>
          <w:tcPr>
            <w:tcW w:w="417" w:type="pct"/>
            <w:tcBorders>
              <w:top w:val="nil"/>
              <w:left w:val="single" w:sz="8" w:space="0" w:color="0066FF"/>
              <w:bottom w:val="single" w:sz="8" w:space="0" w:color="4F81BD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45 349,56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4F81BD"/>
              <w:right w:val="single" w:sz="8" w:space="0" w:color="FF0000"/>
            </w:tcBorders>
            <w:shd w:val="clear" w:color="000000" w:fill="FFFFFF"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322 260,06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410 097,03</w:t>
            </w:r>
          </w:p>
        </w:tc>
        <w:tc>
          <w:tcPr>
            <w:tcW w:w="486" w:type="pct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258 965,31</w:t>
            </w:r>
          </w:p>
        </w:tc>
        <w:tc>
          <w:tcPr>
            <w:tcW w:w="486" w:type="pct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289 724,81</w:t>
            </w:r>
          </w:p>
        </w:tc>
        <w:tc>
          <w:tcPr>
            <w:tcW w:w="486" w:type="pct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424 090,73</w:t>
            </w:r>
          </w:p>
        </w:tc>
        <w:tc>
          <w:tcPr>
            <w:tcW w:w="335" w:type="pct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="006C1D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424 789,77</w:t>
            </w:r>
          </w:p>
        </w:tc>
        <w:tc>
          <w:tcPr>
            <w:tcW w:w="359" w:type="pct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3" w:type="pct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9" w:type="pct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C6D45" w:rsidRPr="001C6D45" w:rsidTr="001C6D45">
        <w:trPr>
          <w:trHeight w:val="297"/>
        </w:trPr>
        <w:tc>
          <w:tcPr>
            <w:tcW w:w="825" w:type="pct"/>
            <w:gridSpan w:val="2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367 609,62</w:t>
            </w:r>
          </w:p>
        </w:tc>
        <w:tc>
          <w:tcPr>
            <w:tcW w:w="407" w:type="pct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6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6" w:type="pct"/>
            <w:tcBorders>
              <w:top w:val="single" w:sz="8" w:space="0" w:color="FFFFFF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3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5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9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8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C6D45" w:rsidRPr="001C6D45" w:rsidTr="001C6D45">
        <w:trPr>
          <w:trHeight w:val="246"/>
        </w:trPr>
        <w:tc>
          <w:tcPr>
            <w:tcW w:w="1232" w:type="pct"/>
            <w:gridSpan w:val="3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777 706,65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6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5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3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9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8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C6D45" w:rsidRPr="001C6D45" w:rsidTr="001C6D45">
        <w:trPr>
          <w:trHeight w:val="136"/>
        </w:trPr>
        <w:tc>
          <w:tcPr>
            <w:tcW w:w="1718" w:type="pct"/>
            <w:gridSpan w:val="4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1 036 671,96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5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3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5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9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8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C6D45" w:rsidRPr="001C6D45" w:rsidTr="001C6D45">
        <w:trPr>
          <w:trHeight w:val="126"/>
        </w:trPr>
        <w:tc>
          <w:tcPr>
            <w:tcW w:w="2204" w:type="pct"/>
            <w:gridSpan w:val="5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1 326 396,77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3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5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9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8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C6D45" w:rsidRPr="001C6D45" w:rsidTr="001C6D45">
        <w:trPr>
          <w:trHeight w:val="129"/>
        </w:trPr>
        <w:tc>
          <w:tcPr>
            <w:tcW w:w="2690" w:type="pct"/>
            <w:gridSpan w:val="6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1 750 487,50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3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5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9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8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C6D45" w:rsidRPr="001C6D45" w:rsidTr="001C6D45">
        <w:trPr>
          <w:trHeight w:val="147"/>
        </w:trPr>
        <w:tc>
          <w:tcPr>
            <w:tcW w:w="3026" w:type="pct"/>
            <w:gridSpan w:val="7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6C1D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="006C1D47" w:rsidRPr="006C1D4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</w:t>
            </w:r>
            <w:r w:rsidR="006C1D4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="006C1D47" w:rsidRPr="006C1D4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175</w:t>
            </w:r>
            <w:r w:rsidR="006C1D4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6C1D47" w:rsidRPr="006C1D4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277,27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5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9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8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C6D45" w:rsidRPr="001C6D45" w:rsidTr="001C6D45">
        <w:trPr>
          <w:trHeight w:val="151"/>
        </w:trPr>
        <w:tc>
          <w:tcPr>
            <w:tcW w:w="3385" w:type="pct"/>
            <w:gridSpan w:val="8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9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8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C6D45" w:rsidRPr="001C6D45" w:rsidTr="001C6D45">
        <w:trPr>
          <w:trHeight w:val="108"/>
        </w:trPr>
        <w:tc>
          <w:tcPr>
            <w:tcW w:w="3828" w:type="pct"/>
            <w:gridSpan w:val="9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8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C6D45" w:rsidRPr="001C6D45" w:rsidTr="001C6D45">
        <w:trPr>
          <w:trHeight w:val="181"/>
        </w:trPr>
        <w:tc>
          <w:tcPr>
            <w:tcW w:w="4233" w:type="pct"/>
            <w:gridSpan w:val="10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C6D45" w:rsidRPr="001C6D45" w:rsidTr="001C6D45">
        <w:trPr>
          <w:trHeight w:val="127"/>
        </w:trPr>
        <w:tc>
          <w:tcPr>
            <w:tcW w:w="4602" w:type="pct"/>
            <w:gridSpan w:val="11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C6D45" w:rsidRPr="001C6D45" w:rsidTr="001C6D45">
        <w:trPr>
          <w:trHeight w:val="202"/>
        </w:trPr>
        <w:tc>
          <w:tcPr>
            <w:tcW w:w="5000" w:type="pct"/>
            <w:gridSpan w:val="12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</w:tbl>
    <w:p w:rsidR="00564C66" w:rsidRDefault="00564C66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A4231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Динамика  исполнения налоговых</w:t>
      </w:r>
      <w:r w:rsidR="000559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и неналоговых доходов на 01.</w:t>
      </w:r>
      <w:r w:rsidR="00564C6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</w:t>
      </w:r>
      <w:r w:rsidR="006C1D4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8</w:t>
      </w:r>
      <w:r w:rsidR="009634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</w:t>
      </w:r>
      <w:r w:rsidR="00C120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</w:t>
      </w:r>
      <w:r w:rsidR="009571CF" w:rsidRPr="009571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 </w:t>
      </w:r>
    </w:p>
    <w:p w:rsid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A87F73" w:rsidRPr="00AB5AD3" w:rsidRDefault="006C1D47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6C1D47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drawing>
          <wp:inline distT="0" distB="0" distL="0" distR="0">
            <wp:extent cx="6152515" cy="2997835"/>
            <wp:effectExtent l="19050" t="0" r="19685" b="0"/>
            <wp:docPr id="3" name="Диаграмма 1">
              <a:extLst xmlns:a="http://schemas.openxmlformats.org/drawingml/2006/main">
                <a:ext uri="{FF2B5EF4-FFF2-40B4-BE49-F238E27FC236}">
                  <a16:creationId xmlns:xdr="http://schemas.openxmlformats.org/drawingml/2006/spreadsheetDrawing" xmlns="" xmlns:a16="http://schemas.microsoft.com/office/drawing/2014/main" xmlns:lc="http://schemas.openxmlformats.org/drawingml/2006/lockedCanvas" id="{00000000-0008-0000-00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AB5AD3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Структура исполнения доходов </w:t>
      </w:r>
      <w:r w:rsidR="00C12C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городского бюджета на </w:t>
      </w:r>
      <w:r w:rsidR="000559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01.</w:t>
      </w:r>
      <w:r w:rsidR="00564C6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</w:t>
      </w:r>
      <w:r w:rsidR="006C1D4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8</w:t>
      </w:r>
      <w:r w:rsidR="009634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</w:t>
      </w:r>
      <w:r w:rsidR="00C120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</w:t>
      </w:r>
      <w:r w:rsidR="00A34596" w:rsidRPr="00A3459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</w:t>
      </w:r>
      <w:r w:rsidR="00647B3F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FA4231" w:rsidRPr="00AB5AD3" w:rsidRDefault="00AB5AD3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</w:t>
      </w:r>
      <w:r w:rsidR="000C78D2"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FA4231" w:rsidRPr="006C1D47" w:rsidRDefault="006C1D47" w:rsidP="00A26D02">
      <w:pPr>
        <w:jc w:val="center"/>
      </w:pPr>
      <w:r w:rsidRPr="006C1D47">
        <w:drawing>
          <wp:inline distT="0" distB="0" distL="0" distR="0">
            <wp:extent cx="6160111" cy="3666227"/>
            <wp:effectExtent l="19050" t="0" r="12089" b="0"/>
            <wp:docPr id="4" name="Диаграмма 2">
              <a:extLst xmlns:a="http://schemas.openxmlformats.org/drawingml/2006/main">
                <a:ext uri="{FF2B5EF4-FFF2-40B4-BE49-F238E27FC236}">
                  <a16:creationId xmlns:xdr="http://schemas.openxmlformats.org/drawingml/2006/spreadsheetDrawing" xmlns="" xmlns:a16="http://schemas.microsoft.com/office/drawing/2014/main" xmlns:lc="http://schemas.openxmlformats.org/drawingml/2006/lockedCanvas" id="{00000000-0008-0000-0000-00000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sectPr w:rsidR="00FA4231" w:rsidRPr="006C1D47" w:rsidSect="00564C66">
      <w:pgSz w:w="11906" w:h="16838"/>
      <w:pgMar w:top="142" w:right="284" w:bottom="55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60F84"/>
    <w:rsid w:val="00001432"/>
    <w:rsid w:val="00005428"/>
    <w:rsid w:val="000059F1"/>
    <w:rsid w:val="00006D46"/>
    <w:rsid w:val="00010613"/>
    <w:rsid w:val="00020926"/>
    <w:rsid w:val="0002207E"/>
    <w:rsid w:val="00022110"/>
    <w:rsid w:val="00022344"/>
    <w:rsid w:val="00023F54"/>
    <w:rsid w:val="000348AA"/>
    <w:rsid w:val="00043E0F"/>
    <w:rsid w:val="00043E58"/>
    <w:rsid w:val="0005339A"/>
    <w:rsid w:val="00055971"/>
    <w:rsid w:val="00060F84"/>
    <w:rsid w:val="00076C5A"/>
    <w:rsid w:val="00082EA7"/>
    <w:rsid w:val="00082EB6"/>
    <w:rsid w:val="00085FEC"/>
    <w:rsid w:val="000875BB"/>
    <w:rsid w:val="000878D7"/>
    <w:rsid w:val="000905A6"/>
    <w:rsid w:val="000A1550"/>
    <w:rsid w:val="000A1B8D"/>
    <w:rsid w:val="000A433F"/>
    <w:rsid w:val="000A6D64"/>
    <w:rsid w:val="000A7B1D"/>
    <w:rsid w:val="000C2E15"/>
    <w:rsid w:val="000C5074"/>
    <w:rsid w:val="000C78D2"/>
    <w:rsid w:val="000D2F92"/>
    <w:rsid w:val="000D37AE"/>
    <w:rsid w:val="000D5DD0"/>
    <w:rsid w:val="000E268B"/>
    <w:rsid w:val="000F5710"/>
    <w:rsid w:val="001156C3"/>
    <w:rsid w:val="00126AB7"/>
    <w:rsid w:val="00132867"/>
    <w:rsid w:val="00133B5F"/>
    <w:rsid w:val="0013465F"/>
    <w:rsid w:val="001353C8"/>
    <w:rsid w:val="00136A04"/>
    <w:rsid w:val="00137688"/>
    <w:rsid w:val="00145EF8"/>
    <w:rsid w:val="00151A94"/>
    <w:rsid w:val="00154DC1"/>
    <w:rsid w:val="00155540"/>
    <w:rsid w:val="001557B7"/>
    <w:rsid w:val="001615DC"/>
    <w:rsid w:val="001632F1"/>
    <w:rsid w:val="00164621"/>
    <w:rsid w:val="0017070E"/>
    <w:rsid w:val="00171BB2"/>
    <w:rsid w:val="00171C04"/>
    <w:rsid w:val="00174A19"/>
    <w:rsid w:val="00182EBE"/>
    <w:rsid w:val="00183068"/>
    <w:rsid w:val="00195400"/>
    <w:rsid w:val="001A2630"/>
    <w:rsid w:val="001A4D0A"/>
    <w:rsid w:val="001A550C"/>
    <w:rsid w:val="001A78B2"/>
    <w:rsid w:val="001A7B65"/>
    <w:rsid w:val="001B39AC"/>
    <w:rsid w:val="001B3CA2"/>
    <w:rsid w:val="001B5016"/>
    <w:rsid w:val="001B679F"/>
    <w:rsid w:val="001C00D9"/>
    <w:rsid w:val="001C42C9"/>
    <w:rsid w:val="001C6D45"/>
    <w:rsid w:val="001C7FDC"/>
    <w:rsid w:val="001D1693"/>
    <w:rsid w:val="001D1F10"/>
    <w:rsid w:val="001D3506"/>
    <w:rsid w:val="001D4B3F"/>
    <w:rsid w:val="001D7319"/>
    <w:rsid w:val="001F04BB"/>
    <w:rsid w:val="001F1D10"/>
    <w:rsid w:val="001F328A"/>
    <w:rsid w:val="001F6F0E"/>
    <w:rsid w:val="00207AF9"/>
    <w:rsid w:val="00211D5F"/>
    <w:rsid w:val="00212F9D"/>
    <w:rsid w:val="0021707D"/>
    <w:rsid w:val="00217081"/>
    <w:rsid w:val="00223AAB"/>
    <w:rsid w:val="002307B0"/>
    <w:rsid w:val="002369F1"/>
    <w:rsid w:val="0024061F"/>
    <w:rsid w:val="002407FD"/>
    <w:rsid w:val="00243242"/>
    <w:rsid w:val="00243F0D"/>
    <w:rsid w:val="00246593"/>
    <w:rsid w:val="002478AB"/>
    <w:rsid w:val="00255543"/>
    <w:rsid w:val="002631DD"/>
    <w:rsid w:val="0026382A"/>
    <w:rsid w:val="00266CC7"/>
    <w:rsid w:val="00266D33"/>
    <w:rsid w:val="002727AF"/>
    <w:rsid w:val="00274538"/>
    <w:rsid w:val="00274FD7"/>
    <w:rsid w:val="00276FA3"/>
    <w:rsid w:val="0028015D"/>
    <w:rsid w:val="00281AFD"/>
    <w:rsid w:val="00283E6A"/>
    <w:rsid w:val="0028715A"/>
    <w:rsid w:val="00294FC4"/>
    <w:rsid w:val="00297946"/>
    <w:rsid w:val="00297C0D"/>
    <w:rsid w:val="00297EF3"/>
    <w:rsid w:val="002A77C3"/>
    <w:rsid w:val="002B2587"/>
    <w:rsid w:val="002B79E4"/>
    <w:rsid w:val="002C536E"/>
    <w:rsid w:val="002D0287"/>
    <w:rsid w:val="002D3AB9"/>
    <w:rsid w:val="002D3E31"/>
    <w:rsid w:val="002D43DD"/>
    <w:rsid w:val="002D64C8"/>
    <w:rsid w:val="002D7E5E"/>
    <w:rsid w:val="002D7F1B"/>
    <w:rsid w:val="002E4A75"/>
    <w:rsid w:val="002F4F0E"/>
    <w:rsid w:val="00305B2F"/>
    <w:rsid w:val="0031279F"/>
    <w:rsid w:val="003145B4"/>
    <w:rsid w:val="00315E7B"/>
    <w:rsid w:val="00316CE7"/>
    <w:rsid w:val="00320ACD"/>
    <w:rsid w:val="0032525B"/>
    <w:rsid w:val="00335982"/>
    <w:rsid w:val="00343727"/>
    <w:rsid w:val="003452E5"/>
    <w:rsid w:val="00350068"/>
    <w:rsid w:val="003510E1"/>
    <w:rsid w:val="00354134"/>
    <w:rsid w:val="0035508B"/>
    <w:rsid w:val="0035602A"/>
    <w:rsid w:val="003605D6"/>
    <w:rsid w:val="00362CA8"/>
    <w:rsid w:val="00364446"/>
    <w:rsid w:val="00364A85"/>
    <w:rsid w:val="0036764B"/>
    <w:rsid w:val="003736FA"/>
    <w:rsid w:val="00376D60"/>
    <w:rsid w:val="00382741"/>
    <w:rsid w:val="003861E2"/>
    <w:rsid w:val="00392F2B"/>
    <w:rsid w:val="00395E31"/>
    <w:rsid w:val="003A6CD5"/>
    <w:rsid w:val="003B02CA"/>
    <w:rsid w:val="003B54E4"/>
    <w:rsid w:val="003C0D19"/>
    <w:rsid w:val="003C171F"/>
    <w:rsid w:val="003C1855"/>
    <w:rsid w:val="003C2851"/>
    <w:rsid w:val="003D36FA"/>
    <w:rsid w:val="003D70E1"/>
    <w:rsid w:val="003E341B"/>
    <w:rsid w:val="003E3896"/>
    <w:rsid w:val="003E5B47"/>
    <w:rsid w:val="003F12F7"/>
    <w:rsid w:val="003F3C74"/>
    <w:rsid w:val="003F6098"/>
    <w:rsid w:val="003F75FC"/>
    <w:rsid w:val="00413860"/>
    <w:rsid w:val="00414BBA"/>
    <w:rsid w:val="004159CD"/>
    <w:rsid w:val="00416E7B"/>
    <w:rsid w:val="00420FEE"/>
    <w:rsid w:val="004244B9"/>
    <w:rsid w:val="00431F8F"/>
    <w:rsid w:val="004379EA"/>
    <w:rsid w:val="0044306A"/>
    <w:rsid w:val="00447E9A"/>
    <w:rsid w:val="004525D6"/>
    <w:rsid w:val="00463954"/>
    <w:rsid w:val="00463CDF"/>
    <w:rsid w:val="0046713C"/>
    <w:rsid w:val="00475398"/>
    <w:rsid w:val="00475789"/>
    <w:rsid w:val="00475F9E"/>
    <w:rsid w:val="004837EC"/>
    <w:rsid w:val="00486D19"/>
    <w:rsid w:val="004875A8"/>
    <w:rsid w:val="0049030F"/>
    <w:rsid w:val="0049310D"/>
    <w:rsid w:val="00493B7D"/>
    <w:rsid w:val="004A5DA5"/>
    <w:rsid w:val="004B4D5B"/>
    <w:rsid w:val="004B4FB8"/>
    <w:rsid w:val="004C0B83"/>
    <w:rsid w:val="004C17D9"/>
    <w:rsid w:val="004C23C6"/>
    <w:rsid w:val="004C42AA"/>
    <w:rsid w:val="004E56A2"/>
    <w:rsid w:val="004F2814"/>
    <w:rsid w:val="004F6158"/>
    <w:rsid w:val="00503F0A"/>
    <w:rsid w:val="00506D61"/>
    <w:rsid w:val="00511EDB"/>
    <w:rsid w:val="0051236A"/>
    <w:rsid w:val="00515A3F"/>
    <w:rsid w:val="0051794C"/>
    <w:rsid w:val="00520112"/>
    <w:rsid w:val="00523F2E"/>
    <w:rsid w:val="0052413E"/>
    <w:rsid w:val="00524580"/>
    <w:rsid w:val="00525D91"/>
    <w:rsid w:val="005418BA"/>
    <w:rsid w:val="005445D1"/>
    <w:rsid w:val="00564C66"/>
    <w:rsid w:val="00565649"/>
    <w:rsid w:val="00565BD7"/>
    <w:rsid w:val="005709F7"/>
    <w:rsid w:val="0057606C"/>
    <w:rsid w:val="00586B1B"/>
    <w:rsid w:val="00587BDF"/>
    <w:rsid w:val="005963EE"/>
    <w:rsid w:val="00596DDA"/>
    <w:rsid w:val="005A4B10"/>
    <w:rsid w:val="005B0E26"/>
    <w:rsid w:val="005B5548"/>
    <w:rsid w:val="005B6C91"/>
    <w:rsid w:val="005C418B"/>
    <w:rsid w:val="005C62BF"/>
    <w:rsid w:val="005C70BC"/>
    <w:rsid w:val="005D3A67"/>
    <w:rsid w:val="005D3ECF"/>
    <w:rsid w:val="005D6CA6"/>
    <w:rsid w:val="005E147F"/>
    <w:rsid w:val="005E6F8F"/>
    <w:rsid w:val="005E7D0B"/>
    <w:rsid w:val="005E7E25"/>
    <w:rsid w:val="005F10E4"/>
    <w:rsid w:val="005F5127"/>
    <w:rsid w:val="005F5D3C"/>
    <w:rsid w:val="005F6986"/>
    <w:rsid w:val="005F7C02"/>
    <w:rsid w:val="0060133B"/>
    <w:rsid w:val="006131E9"/>
    <w:rsid w:val="00613C30"/>
    <w:rsid w:val="00615F27"/>
    <w:rsid w:val="006178EC"/>
    <w:rsid w:val="00620767"/>
    <w:rsid w:val="0062283F"/>
    <w:rsid w:val="0062426E"/>
    <w:rsid w:val="006342A2"/>
    <w:rsid w:val="00635337"/>
    <w:rsid w:val="006379CB"/>
    <w:rsid w:val="00640AA1"/>
    <w:rsid w:val="00643B49"/>
    <w:rsid w:val="00646F41"/>
    <w:rsid w:val="00647B3F"/>
    <w:rsid w:val="0065294A"/>
    <w:rsid w:val="00657FAE"/>
    <w:rsid w:val="0066201D"/>
    <w:rsid w:val="00662689"/>
    <w:rsid w:val="00663048"/>
    <w:rsid w:val="00667608"/>
    <w:rsid w:val="00667E65"/>
    <w:rsid w:val="00680FA1"/>
    <w:rsid w:val="00681666"/>
    <w:rsid w:val="00681954"/>
    <w:rsid w:val="006825D7"/>
    <w:rsid w:val="00686254"/>
    <w:rsid w:val="006908B2"/>
    <w:rsid w:val="00690A79"/>
    <w:rsid w:val="006A5633"/>
    <w:rsid w:val="006A7966"/>
    <w:rsid w:val="006A7F1E"/>
    <w:rsid w:val="006B0BD4"/>
    <w:rsid w:val="006B0C03"/>
    <w:rsid w:val="006B16F0"/>
    <w:rsid w:val="006B41E6"/>
    <w:rsid w:val="006C1D47"/>
    <w:rsid w:val="006D06D0"/>
    <w:rsid w:val="006D73C0"/>
    <w:rsid w:val="006E1654"/>
    <w:rsid w:val="006E7AF6"/>
    <w:rsid w:val="006F06AF"/>
    <w:rsid w:val="006F1834"/>
    <w:rsid w:val="006F6D07"/>
    <w:rsid w:val="006F6DD3"/>
    <w:rsid w:val="0072138A"/>
    <w:rsid w:val="0072208B"/>
    <w:rsid w:val="007369BD"/>
    <w:rsid w:val="00736FFA"/>
    <w:rsid w:val="00737B04"/>
    <w:rsid w:val="00741122"/>
    <w:rsid w:val="007420C2"/>
    <w:rsid w:val="0074465A"/>
    <w:rsid w:val="00747CFD"/>
    <w:rsid w:val="00753A80"/>
    <w:rsid w:val="007628EF"/>
    <w:rsid w:val="00762A76"/>
    <w:rsid w:val="00766896"/>
    <w:rsid w:val="00767D89"/>
    <w:rsid w:val="00771503"/>
    <w:rsid w:val="00773630"/>
    <w:rsid w:val="00784DA0"/>
    <w:rsid w:val="00786FC4"/>
    <w:rsid w:val="007915F8"/>
    <w:rsid w:val="00792A7D"/>
    <w:rsid w:val="00793D71"/>
    <w:rsid w:val="00794C32"/>
    <w:rsid w:val="007A288C"/>
    <w:rsid w:val="007B3EC8"/>
    <w:rsid w:val="007B726B"/>
    <w:rsid w:val="007C76B3"/>
    <w:rsid w:val="007D6111"/>
    <w:rsid w:val="007E3185"/>
    <w:rsid w:val="007E368A"/>
    <w:rsid w:val="007E5E7D"/>
    <w:rsid w:val="007F03D5"/>
    <w:rsid w:val="007F7AFA"/>
    <w:rsid w:val="00800415"/>
    <w:rsid w:val="00802CBA"/>
    <w:rsid w:val="00806D3A"/>
    <w:rsid w:val="00814245"/>
    <w:rsid w:val="0081635D"/>
    <w:rsid w:val="008168AC"/>
    <w:rsid w:val="008176D8"/>
    <w:rsid w:val="0082288A"/>
    <w:rsid w:val="00823EB3"/>
    <w:rsid w:val="008259FF"/>
    <w:rsid w:val="00831D91"/>
    <w:rsid w:val="00842A1A"/>
    <w:rsid w:val="008479DC"/>
    <w:rsid w:val="008505F8"/>
    <w:rsid w:val="008532A5"/>
    <w:rsid w:val="00857CD9"/>
    <w:rsid w:val="008649E5"/>
    <w:rsid w:val="00877261"/>
    <w:rsid w:val="00882EF3"/>
    <w:rsid w:val="00885E08"/>
    <w:rsid w:val="0089133A"/>
    <w:rsid w:val="00895DDB"/>
    <w:rsid w:val="008960B2"/>
    <w:rsid w:val="008A2B80"/>
    <w:rsid w:val="008A7652"/>
    <w:rsid w:val="008B3EE0"/>
    <w:rsid w:val="008C0332"/>
    <w:rsid w:val="008D0E70"/>
    <w:rsid w:val="008D1215"/>
    <w:rsid w:val="008D27A3"/>
    <w:rsid w:val="008D3CBC"/>
    <w:rsid w:val="008D5C00"/>
    <w:rsid w:val="008D5CBE"/>
    <w:rsid w:val="008D7C78"/>
    <w:rsid w:val="008E2F53"/>
    <w:rsid w:val="008E38DC"/>
    <w:rsid w:val="008E4203"/>
    <w:rsid w:val="008E7A8D"/>
    <w:rsid w:val="008F5D96"/>
    <w:rsid w:val="008F7A14"/>
    <w:rsid w:val="009027FB"/>
    <w:rsid w:val="00921825"/>
    <w:rsid w:val="00924CED"/>
    <w:rsid w:val="00925B7E"/>
    <w:rsid w:val="00925E95"/>
    <w:rsid w:val="009262EA"/>
    <w:rsid w:val="00930093"/>
    <w:rsid w:val="00940A66"/>
    <w:rsid w:val="009425A7"/>
    <w:rsid w:val="009437A9"/>
    <w:rsid w:val="009571CF"/>
    <w:rsid w:val="0096034D"/>
    <w:rsid w:val="009634B2"/>
    <w:rsid w:val="00980D80"/>
    <w:rsid w:val="00983991"/>
    <w:rsid w:val="00991342"/>
    <w:rsid w:val="00996670"/>
    <w:rsid w:val="009A406F"/>
    <w:rsid w:val="009A4B0F"/>
    <w:rsid w:val="009A539C"/>
    <w:rsid w:val="009A6560"/>
    <w:rsid w:val="009B4872"/>
    <w:rsid w:val="009C4F7D"/>
    <w:rsid w:val="009D1594"/>
    <w:rsid w:val="009D171A"/>
    <w:rsid w:val="009D5E6C"/>
    <w:rsid w:val="009E03AC"/>
    <w:rsid w:val="009E0714"/>
    <w:rsid w:val="009E18F2"/>
    <w:rsid w:val="009E6ED7"/>
    <w:rsid w:val="009F5D2B"/>
    <w:rsid w:val="009F6BA8"/>
    <w:rsid w:val="00A03A53"/>
    <w:rsid w:val="00A1106C"/>
    <w:rsid w:val="00A12C8A"/>
    <w:rsid w:val="00A1529D"/>
    <w:rsid w:val="00A205C2"/>
    <w:rsid w:val="00A26D02"/>
    <w:rsid w:val="00A34596"/>
    <w:rsid w:val="00A40212"/>
    <w:rsid w:val="00A4150B"/>
    <w:rsid w:val="00A4432C"/>
    <w:rsid w:val="00A448AD"/>
    <w:rsid w:val="00A46529"/>
    <w:rsid w:val="00A50143"/>
    <w:rsid w:val="00A505C0"/>
    <w:rsid w:val="00A50BEC"/>
    <w:rsid w:val="00A52412"/>
    <w:rsid w:val="00A52E1E"/>
    <w:rsid w:val="00A53E22"/>
    <w:rsid w:val="00A550CB"/>
    <w:rsid w:val="00A61B34"/>
    <w:rsid w:val="00A672A5"/>
    <w:rsid w:val="00A67623"/>
    <w:rsid w:val="00A72109"/>
    <w:rsid w:val="00A73F31"/>
    <w:rsid w:val="00A75CF5"/>
    <w:rsid w:val="00A81046"/>
    <w:rsid w:val="00A87F73"/>
    <w:rsid w:val="00AA1680"/>
    <w:rsid w:val="00AA1C3A"/>
    <w:rsid w:val="00AA4F3B"/>
    <w:rsid w:val="00AA7202"/>
    <w:rsid w:val="00AB0069"/>
    <w:rsid w:val="00AB2553"/>
    <w:rsid w:val="00AB41AD"/>
    <w:rsid w:val="00AB5AD3"/>
    <w:rsid w:val="00AB7E87"/>
    <w:rsid w:val="00AD00EF"/>
    <w:rsid w:val="00AD052D"/>
    <w:rsid w:val="00AE11B3"/>
    <w:rsid w:val="00AE14E9"/>
    <w:rsid w:val="00AE43C4"/>
    <w:rsid w:val="00AE661F"/>
    <w:rsid w:val="00AF0255"/>
    <w:rsid w:val="00AF6C32"/>
    <w:rsid w:val="00B062EE"/>
    <w:rsid w:val="00B11DDD"/>
    <w:rsid w:val="00B12AFF"/>
    <w:rsid w:val="00B233B7"/>
    <w:rsid w:val="00B257EB"/>
    <w:rsid w:val="00B27D03"/>
    <w:rsid w:val="00B304A8"/>
    <w:rsid w:val="00B376D4"/>
    <w:rsid w:val="00B430B7"/>
    <w:rsid w:val="00B513BB"/>
    <w:rsid w:val="00B52988"/>
    <w:rsid w:val="00B5769F"/>
    <w:rsid w:val="00B601FF"/>
    <w:rsid w:val="00B6452E"/>
    <w:rsid w:val="00B76F54"/>
    <w:rsid w:val="00B9159A"/>
    <w:rsid w:val="00B95C2B"/>
    <w:rsid w:val="00BA06BF"/>
    <w:rsid w:val="00BA1016"/>
    <w:rsid w:val="00BA1EF4"/>
    <w:rsid w:val="00BA41BC"/>
    <w:rsid w:val="00BA6AFD"/>
    <w:rsid w:val="00BB6CD1"/>
    <w:rsid w:val="00BD363A"/>
    <w:rsid w:val="00BD40B4"/>
    <w:rsid w:val="00BD5702"/>
    <w:rsid w:val="00BD58E6"/>
    <w:rsid w:val="00BD6599"/>
    <w:rsid w:val="00BD66D0"/>
    <w:rsid w:val="00BD6C30"/>
    <w:rsid w:val="00BD7E5E"/>
    <w:rsid w:val="00BE2769"/>
    <w:rsid w:val="00BE35C3"/>
    <w:rsid w:val="00BE773A"/>
    <w:rsid w:val="00BF17F2"/>
    <w:rsid w:val="00BF779E"/>
    <w:rsid w:val="00C02507"/>
    <w:rsid w:val="00C05C96"/>
    <w:rsid w:val="00C06E1E"/>
    <w:rsid w:val="00C11376"/>
    <w:rsid w:val="00C120CB"/>
    <w:rsid w:val="00C12CA4"/>
    <w:rsid w:val="00C13DEC"/>
    <w:rsid w:val="00C15A32"/>
    <w:rsid w:val="00C24118"/>
    <w:rsid w:val="00C258DC"/>
    <w:rsid w:val="00C27769"/>
    <w:rsid w:val="00C35041"/>
    <w:rsid w:val="00C358F6"/>
    <w:rsid w:val="00C36D56"/>
    <w:rsid w:val="00C37B6A"/>
    <w:rsid w:val="00C43FA7"/>
    <w:rsid w:val="00C47817"/>
    <w:rsid w:val="00C5119C"/>
    <w:rsid w:val="00C652EE"/>
    <w:rsid w:val="00C6668C"/>
    <w:rsid w:val="00C676D5"/>
    <w:rsid w:val="00C676F8"/>
    <w:rsid w:val="00C75BBD"/>
    <w:rsid w:val="00C75F5B"/>
    <w:rsid w:val="00C904A9"/>
    <w:rsid w:val="00C90A0A"/>
    <w:rsid w:val="00C938C2"/>
    <w:rsid w:val="00C950BA"/>
    <w:rsid w:val="00C97A58"/>
    <w:rsid w:val="00CA3309"/>
    <w:rsid w:val="00CB0AAA"/>
    <w:rsid w:val="00CB2F38"/>
    <w:rsid w:val="00CB332C"/>
    <w:rsid w:val="00CC0147"/>
    <w:rsid w:val="00CC2510"/>
    <w:rsid w:val="00CD0BF3"/>
    <w:rsid w:val="00CD462F"/>
    <w:rsid w:val="00CD710A"/>
    <w:rsid w:val="00CD7727"/>
    <w:rsid w:val="00CE7AED"/>
    <w:rsid w:val="00CF01A1"/>
    <w:rsid w:val="00D00665"/>
    <w:rsid w:val="00D00E4D"/>
    <w:rsid w:val="00D01F9D"/>
    <w:rsid w:val="00D056EB"/>
    <w:rsid w:val="00D10E00"/>
    <w:rsid w:val="00D114A4"/>
    <w:rsid w:val="00D3495A"/>
    <w:rsid w:val="00D36529"/>
    <w:rsid w:val="00D36EF6"/>
    <w:rsid w:val="00D40A0D"/>
    <w:rsid w:val="00D51228"/>
    <w:rsid w:val="00D52C71"/>
    <w:rsid w:val="00D55E0D"/>
    <w:rsid w:val="00D5714F"/>
    <w:rsid w:val="00D57963"/>
    <w:rsid w:val="00D62595"/>
    <w:rsid w:val="00D6468B"/>
    <w:rsid w:val="00D742C0"/>
    <w:rsid w:val="00D744A2"/>
    <w:rsid w:val="00D83594"/>
    <w:rsid w:val="00D840E0"/>
    <w:rsid w:val="00D86021"/>
    <w:rsid w:val="00D866C0"/>
    <w:rsid w:val="00DC5C94"/>
    <w:rsid w:val="00DD5D92"/>
    <w:rsid w:val="00DD7529"/>
    <w:rsid w:val="00DF2733"/>
    <w:rsid w:val="00E02B6C"/>
    <w:rsid w:val="00E045C7"/>
    <w:rsid w:val="00E04FC0"/>
    <w:rsid w:val="00E07C84"/>
    <w:rsid w:val="00E138B2"/>
    <w:rsid w:val="00E30428"/>
    <w:rsid w:val="00E345F7"/>
    <w:rsid w:val="00E37CFE"/>
    <w:rsid w:val="00E60DAE"/>
    <w:rsid w:val="00E6237E"/>
    <w:rsid w:val="00E66914"/>
    <w:rsid w:val="00E66C74"/>
    <w:rsid w:val="00E7551E"/>
    <w:rsid w:val="00E819D7"/>
    <w:rsid w:val="00E8413E"/>
    <w:rsid w:val="00E8690B"/>
    <w:rsid w:val="00E95448"/>
    <w:rsid w:val="00EA0E24"/>
    <w:rsid w:val="00EA310C"/>
    <w:rsid w:val="00EA3539"/>
    <w:rsid w:val="00EB6134"/>
    <w:rsid w:val="00EB6EBD"/>
    <w:rsid w:val="00EC1285"/>
    <w:rsid w:val="00EC3854"/>
    <w:rsid w:val="00EC3D82"/>
    <w:rsid w:val="00EC5292"/>
    <w:rsid w:val="00EC6853"/>
    <w:rsid w:val="00EC68C9"/>
    <w:rsid w:val="00ED0B6A"/>
    <w:rsid w:val="00EE27B4"/>
    <w:rsid w:val="00EE3AA1"/>
    <w:rsid w:val="00EE3F34"/>
    <w:rsid w:val="00F002F2"/>
    <w:rsid w:val="00F00B1C"/>
    <w:rsid w:val="00F0441F"/>
    <w:rsid w:val="00F13EA6"/>
    <w:rsid w:val="00F17BD0"/>
    <w:rsid w:val="00F22190"/>
    <w:rsid w:val="00F22DA1"/>
    <w:rsid w:val="00F23BD3"/>
    <w:rsid w:val="00F24D4E"/>
    <w:rsid w:val="00F306B5"/>
    <w:rsid w:val="00F30C58"/>
    <w:rsid w:val="00F325D4"/>
    <w:rsid w:val="00F33F5F"/>
    <w:rsid w:val="00F463EC"/>
    <w:rsid w:val="00F56C7D"/>
    <w:rsid w:val="00F62242"/>
    <w:rsid w:val="00F70016"/>
    <w:rsid w:val="00F72213"/>
    <w:rsid w:val="00F73ECA"/>
    <w:rsid w:val="00F73FA9"/>
    <w:rsid w:val="00F77985"/>
    <w:rsid w:val="00F82958"/>
    <w:rsid w:val="00F8403D"/>
    <w:rsid w:val="00F86A81"/>
    <w:rsid w:val="00F87869"/>
    <w:rsid w:val="00F91F30"/>
    <w:rsid w:val="00F92A83"/>
    <w:rsid w:val="00F939A0"/>
    <w:rsid w:val="00FA4231"/>
    <w:rsid w:val="00FA46D0"/>
    <w:rsid w:val="00FA536C"/>
    <w:rsid w:val="00FB29E4"/>
    <w:rsid w:val="00FB2ED3"/>
    <w:rsid w:val="00FB3C55"/>
    <w:rsid w:val="00FB434B"/>
    <w:rsid w:val="00FB4CAB"/>
    <w:rsid w:val="00FB7D87"/>
    <w:rsid w:val="00FC1E6C"/>
    <w:rsid w:val="00FC71D0"/>
    <w:rsid w:val="00FD3711"/>
    <w:rsid w:val="00FD5504"/>
    <w:rsid w:val="00FD7DEB"/>
    <w:rsid w:val="00FF3083"/>
    <w:rsid w:val="00FF42DE"/>
    <w:rsid w:val="00FF60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B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12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128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4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0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3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0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0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2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4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26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1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0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3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6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4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9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5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1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2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8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1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chart" Target="charts/chart2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Nas1fdd59\bux\2023%20&#1075;&#1086;&#1076;\&#1057;&#1072;&#1081;&#1090;\&#1043;&#1054;&#1058;&#1054;&#1042;&#1054;\&#1044;&#1086;&#1093;&#1086;&#1076;&#1099;%20&#1085;&#1072;%2001.08.2023\&#1044;&#1086;&#1093;&#1086;&#1076;&#1099;%20&#1076;&#1083;&#1103;%20&#1089;&#1072;&#1081;&#1090;&#1072;%20&#1085;&#1072;%2001.08.23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Nas1fdd59\bux\2023%20&#1075;&#1086;&#1076;\&#1057;&#1072;&#1081;&#1090;\&#1043;&#1054;&#1058;&#1054;&#1042;&#1054;\&#1044;&#1086;&#1093;&#1086;&#1076;&#1099;%20&#1085;&#1072;%2001.08.2023\&#1044;&#1086;&#1093;&#1086;&#1076;&#1099;%20&#1076;&#1083;&#1103;%20&#1089;&#1072;&#1081;&#1090;&#1072;%20&#1085;&#1072;%2001.08.23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plotArea>
      <c:layout>
        <c:manualLayout>
          <c:layoutTarget val="inner"/>
          <c:xMode val="edge"/>
          <c:yMode val="edge"/>
          <c:x val="0.11090454576530152"/>
          <c:y val="2.9458729886490828E-2"/>
          <c:w val="0.74189833136146865"/>
          <c:h val="0.74331919670924906"/>
        </c:manualLayout>
      </c:layout>
      <c:lineChart>
        <c:grouping val="standard"/>
        <c:ser>
          <c:idx val="0"/>
          <c:order val="0"/>
          <c:tx>
            <c:strRef>
              <c:f>июль!$C$21</c:f>
              <c:strCache>
                <c:ptCount val="1"/>
                <c:pt idx="0">
                  <c:v>2018 год</c:v>
                </c:pt>
              </c:strCache>
            </c:strRef>
          </c:tx>
          <c:marker>
            <c:symbol val="none"/>
          </c:marker>
          <c:cat>
            <c:strRef>
              <c:f>июль!$B$22:$B$33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июль!$C$22:$C$33</c:f>
              <c:numCache>
                <c:formatCode>#,##0.00</c:formatCode>
                <c:ptCount val="12"/>
                <c:pt idx="0">
                  <c:v>23090.69</c:v>
                </c:pt>
                <c:pt idx="1">
                  <c:v>49753.99</c:v>
                </c:pt>
                <c:pt idx="2">
                  <c:v>80317.87</c:v>
                </c:pt>
                <c:pt idx="3">
                  <c:v>120788.37</c:v>
                </c:pt>
                <c:pt idx="4">
                  <c:v>154041.57999999999</c:v>
                </c:pt>
                <c:pt idx="5">
                  <c:v>183085.93</c:v>
                </c:pt>
                <c:pt idx="6">
                  <c:v>222063.71</c:v>
                </c:pt>
                <c:pt idx="7">
                  <c:v>248067.18</c:v>
                </c:pt>
                <c:pt idx="8">
                  <c:v>276553.02</c:v>
                </c:pt>
                <c:pt idx="9">
                  <c:v>318784.2</c:v>
                </c:pt>
                <c:pt idx="10">
                  <c:v>353723.27999999997</c:v>
                </c:pt>
                <c:pt idx="11">
                  <c:v>412488.69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726A-4F62-966B-B50A1D7EB149}"/>
            </c:ext>
          </c:extLst>
        </c:ser>
        <c:ser>
          <c:idx val="1"/>
          <c:order val="1"/>
          <c:tx>
            <c:strRef>
              <c:f>июль!$D$21</c:f>
              <c:strCache>
                <c:ptCount val="1"/>
                <c:pt idx="0">
                  <c:v>2019 год</c:v>
                </c:pt>
              </c:strCache>
            </c:strRef>
          </c:tx>
          <c:marker>
            <c:symbol val="none"/>
          </c:marker>
          <c:cat>
            <c:strRef>
              <c:f>июль!$B$22:$B$33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июль!$D$22:$D$33</c:f>
              <c:numCache>
                <c:formatCode>#,##0.00</c:formatCode>
                <c:ptCount val="12"/>
                <c:pt idx="0">
                  <c:v>24698.53</c:v>
                </c:pt>
                <c:pt idx="1">
                  <c:v>52521.75</c:v>
                </c:pt>
                <c:pt idx="2">
                  <c:v>84861.93</c:v>
                </c:pt>
                <c:pt idx="3">
                  <c:v>127086.62</c:v>
                </c:pt>
                <c:pt idx="4">
                  <c:v>155700</c:v>
                </c:pt>
                <c:pt idx="5">
                  <c:v>183991.72</c:v>
                </c:pt>
                <c:pt idx="6">
                  <c:v>230184.3</c:v>
                </c:pt>
                <c:pt idx="7">
                  <c:v>258113.93</c:v>
                </c:pt>
                <c:pt idx="8">
                  <c:v>286887.78000000003</c:v>
                </c:pt>
                <c:pt idx="9">
                  <c:v>331169.38</c:v>
                </c:pt>
                <c:pt idx="10">
                  <c:v>370826.7</c:v>
                </c:pt>
                <c:pt idx="11">
                  <c:v>434564.56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726A-4F62-966B-B50A1D7EB149}"/>
            </c:ext>
          </c:extLst>
        </c:ser>
        <c:ser>
          <c:idx val="2"/>
          <c:order val="2"/>
          <c:tx>
            <c:strRef>
              <c:f>июль!$E$21</c:f>
              <c:strCache>
                <c:ptCount val="1"/>
                <c:pt idx="0">
                  <c:v>2020 год</c:v>
                </c:pt>
              </c:strCache>
            </c:strRef>
          </c:tx>
          <c:marker>
            <c:symbol val="none"/>
          </c:marker>
          <c:cat>
            <c:strRef>
              <c:f>июль!$B$22:$B$33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июль!$E$22:$E$33</c:f>
              <c:numCache>
                <c:formatCode>#,##0.00</c:formatCode>
                <c:ptCount val="12"/>
                <c:pt idx="0">
                  <c:v>27699.09</c:v>
                </c:pt>
                <c:pt idx="1">
                  <c:v>56942.259999999987</c:v>
                </c:pt>
                <c:pt idx="2">
                  <c:v>97191.809999999969</c:v>
                </c:pt>
                <c:pt idx="3">
                  <c:v>130288.19</c:v>
                </c:pt>
                <c:pt idx="4">
                  <c:v>154661.9</c:v>
                </c:pt>
                <c:pt idx="5">
                  <c:v>188550.06</c:v>
                </c:pt>
                <c:pt idx="6">
                  <c:v>233688.17</c:v>
                </c:pt>
                <c:pt idx="7">
                  <c:v>267329.03000000003</c:v>
                </c:pt>
                <c:pt idx="8">
                  <c:v>300245.69</c:v>
                </c:pt>
                <c:pt idx="9">
                  <c:v>349108.16</c:v>
                </c:pt>
                <c:pt idx="10">
                  <c:v>390457.97</c:v>
                </c:pt>
                <c:pt idx="11">
                  <c:v>462058.38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726A-4F62-966B-B50A1D7EB149}"/>
            </c:ext>
          </c:extLst>
        </c:ser>
        <c:ser>
          <c:idx val="3"/>
          <c:order val="3"/>
          <c:tx>
            <c:strRef>
              <c:f>июль!$F$21</c:f>
              <c:strCache>
                <c:ptCount val="1"/>
                <c:pt idx="0">
                  <c:v>2021 год</c:v>
                </c:pt>
              </c:strCache>
            </c:strRef>
          </c:tx>
          <c:marker>
            <c:symbol val="none"/>
          </c:marker>
          <c:cat>
            <c:strRef>
              <c:f>июль!$B$22:$B$33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июль!$F$22:$F$33</c:f>
              <c:numCache>
                <c:formatCode>#,##0.00</c:formatCode>
                <c:ptCount val="12"/>
                <c:pt idx="0">
                  <c:v>26763.81</c:v>
                </c:pt>
                <c:pt idx="1">
                  <c:v>61965.04</c:v>
                </c:pt>
                <c:pt idx="2">
                  <c:v>117018.35</c:v>
                </c:pt>
                <c:pt idx="3">
                  <c:v>180839.3</c:v>
                </c:pt>
                <c:pt idx="4">
                  <c:v>226811.84</c:v>
                </c:pt>
                <c:pt idx="5">
                  <c:v>270620.09000000003</c:v>
                </c:pt>
                <c:pt idx="6">
                  <c:v>337188.34</c:v>
                </c:pt>
                <c:pt idx="7">
                  <c:v>371549.51</c:v>
                </c:pt>
                <c:pt idx="8">
                  <c:v>409580.43</c:v>
                </c:pt>
                <c:pt idx="9">
                  <c:v>467038.95</c:v>
                </c:pt>
                <c:pt idx="10">
                  <c:v>519043.73903</c:v>
                </c:pt>
                <c:pt idx="11">
                  <c:v>598872.41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726A-4F62-966B-B50A1D7EB149}"/>
            </c:ext>
          </c:extLst>
        </c:ser>
        <c:ser>
          <c:idx val="4"/>
          <c:order val="4"/>
          <c:tx>
            <c:strRef>
              <c:f>июль!$G$21</c:f>
              <c:strCache>
                <c:ptCount val="1"/>
                <c:pt idx="0">
                  <c:v>2022 год</c:v>
                </c:pt>
              </c:strCache>
            </c:strRef>
          </c:tx>
          <c:marker>
            <c:symbol val="none"/>
          </c:marker>
          <c:cat>
            <c:strRef>
              <c:f>июль!$B$22:$B$33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июль!$G$22:$G$33</c:f>
              <c:numCache>
                <c:formatCode>#,##0.00</c:formatCode>
                <c:ptCount val="12"/>
                <c:pt idx="0">
                  <c:v>34369.89</c:v>
                </c:pt>
                <c:pt idx="1">
                  <c:v>79102.789999999994</c:v>
                </c:pt>
                <c:pt idx="2">
                  <c:v>170255.62221</c:v>
                </c:pt>
                <c:pt idx="3">
                  <c:v>221241.57</c:v>
                </c:pt>
                <c:pt idx="4">
                  <c:v>270956.46999999997</c:v>
                </c:pt>
                <c:pt idx="5">
                  <c:v>332804.84000000003</c:v>
                </c:pt>
                <c:pt idx="6">
                  <c:v>403607.37</c:v>
                </c:pt>
                <c:pt idx="7">
                  <c:v>448648.65</c:v>
                </c:pt>
                <c:pt idx="8">
                  <c:v>497478.51</c:v>
                </c:pt>
                <c:pt idx="9">
                  <c:v>572460.76</c:v>
                </c:pt>
                <c:pt idx="10">
                  <c:v>634573.09</c:v>
                </c:pt>
                <c:pt idx="11">
                  <c:v>750547.77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726A-4F62-966B-B50A1D7EB149}"/>
            </c:ext>
          </c:extLst>
        </c:ser>
        <c:ser>
          <c:idx val="5"/>
          <c:order val="5"/>
          <c:tx>
            <c:strRef>
              <c:f>июль!$H$21</c:f>
              <c:strCache>
                <c:ptCount val="1"/>
                <c:pt idx="0">
                  <c:v>2023 год</c:v>
                </c:pt>
              </c:strCache>
            </c:strRef>
          </c:tx>
          <c:marker>
            <c:symbol val="none"/>
          </c:marker>
          <c:cat>
            <c:strRef>
              <c:f>июль!$B$22:$B$33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июль!$H$22:$H$33</c:f>
              <c:numCache>
                <c:formatCode>#,##0.00</c:formatCode>
                <c:ptCount val="12"/>
                <c:pt idx="0">
                  <c:v>25873.08</c:v>
                </c:pt>
                <c:pt idx="1">
                  <c:v>27281.91</c:v>
                </c:pt>
                <c:pt idx="2">
                  <c:v>123074.47</c:v>
                </c:pt>
                <c:pt idx="3">
                  <c:v>203257.95</c:v>
                </c:pt>
                <c:pt idx="4">
                  <c:v>254177.28</c:v>
                </c:pt>
                <c:pt idx="5">
                  <c:v>309849.87</c:v>
                </c:pt>
                <c:pt idx="6">
                  <c:v>405068.7</c:v>
                </c:pt>
              </c:numCache>
            </c:numRef>
          </c:val>
        </c:ser>
        <c:marker val="1"/>
        <c:axId val="75897088"/>
        <c:axId val="75902976"/>
      </c:lineChart>
      <c:catAx>
        <c:axId val="75897088"/>
        <c:scaling>
          <c:orientation val="minMax"/>
        </c:scaling>
        <c:axPos val="b"/>
        <c:numFmt formatCode="General" sourceLinked="0"/>
        <c:tickLblPos val="nextTo"/>
        <c:crossAx val="75902976"/>
        <c:crosses val="autoZero"/>
        <c:auto val="1"/>
        <c:lblAlgn val="ctr"/>
        <c:lblOffset val="100"/>
      </c:catAx>
      <c:valAx>
        <c:axId val="75902976"/>
        <c:scaling>
          <c:orientation val="minMax"/>
        </c:scaling>
        <c:axPos val="l"/>
        <c:majorGridlines/>
        <c:numFmt formatCode="#,##0.00" sourceLinked="1"/>
        <c:tickLblPos val="nextTo"/>
        <c:crossAx val="75897088"/>
        <c:crosses val="autoZero"/>
        <c:crossBetween val="between"/>
      </c:valAx>
    </c:plotArea>
    <c:legend>
      <c:legendPos val="r"/>
      <c:layout/>
    </c:legend>
    <c:plotVisOnly val="1"/>
    <c:dispBlanksAs val="gap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>
        <c:manualLayout>
          <c:layoutTarget val="inner"/>
          <c:xMode val="edge"/>
          <c:yMode val="edge"/>
          <c:x val="8.9769140428777025E-2"/>
          <c:y val="1.3976165314661291E-2"/>
          <c:w val="0.34145823969141897"/>
          <c:h val="0.9217054820966436"/>
        </c:manualLayout>
      </c:layout>
      <c:bar3DChart>
        <c:barDir val="col"/>
        <c:grouping val="stacked"/>
        <c:ser>
          <c:idx val="16"/>
          <c:order val="0"/>
          <c:tx>
            <c:strRef>
              <c:f>июль!$B$58</c:f>
              <c:strCache>
                <c:ptCount val="1"/>
                <c:pt idx="0">
                  <c:v>Безвозмездные поступления</c:v>
                </c:pt>
              </c:strCache>
            </c:strRef>
          </c:tx>
          <c:spPr>
            <a:solidFill>
              <a:srgbClr val="0066FF"/>
            </a:solidFill>
          </c:spPr>
          <c:cat>
            <c:strRef>
              <c:f>(июль!$C$58:$D$58,июль!$E$40:$G$40)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июль!$C$58:$G$58</c:f>
              <c:numCache>
                <c:formatCode>General</c:formatCode>
                <c:ptCount val="5"/>
                <c:pt idx="2" formatCode="#,##0.00">
                  <c:v>2629042.6</c:v>
                </c:pt>
                <c:pt idx="3" formatCode="#,##0.00">
                  <c:v>3723954.31</c:v>
                </c:pt>
                <c:pt idx="4" formatCode="#,##0.00">
                  <c:v>1770208.56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0A17-4055-BEBF-F1907C3795E1}"/>
            </c:ext>
          </c:extLst>
        </c:ser>
        <c:ser>
          <c:idx val="15"/>
          <c:order val="1"/>
          <c:tx>
            <c:strRef>
              <c:f>июль!$B$57</c:f>
              <c:strCache>
                <c:ptCount val="1"/>
                <c:pt idx="0">
                  <c:v>Прочие неналоговые доходы</c:v>
                </c:pt>
              </c:strCache>
            </c:strRef>
          </c:tx>
          <c:cat>
            <c:strRef>
              <c:f>(июль!$C$58:$D$58,июль!$E$40:$G$40)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июль!$C$57:$G$57</c:f>
              <c:numCache>
                <c:formatCode>General</c:formatCode>
                <c:ptCount val="5"/>
                <c:pt idx="2" formatCode="#,##0.00">
                  <c:v>10</c:v>
                </c:pt>
                <c:pt idx="3" formatCode="#,##0.00">
                  <c:v>-1089.27</c:v>
                </c:pt>
                <c:pt idx="4" formatCode="#,##0.00">
                  <c:v>-406.68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0A17-4055-BEBF-F1907C3795E1}"/>
            </c:ext>
          </c:extLst>
        </c:ser>
        <c:ser>
          <c:idx val="14"/>
          <c:order val="2"/>
          <c:tx>
            <c:strRef>
              <c:f>июль!$B$56</c:f>
              <c:strCache>
                <c:ptCount val="1"/>
                <c:pt idx="0">
                  <c:v>Штрафы, санкции, возмещение ущерба</c:v>
                </c:pt>
              </c:strCache>
            </c:strRef>
          </c:tx>
          <c:spPr>
            <a:solidFill>
              <a:srgbClr val="969696"/>
            </a:solidFill>
          </c:spPr>
          <c:cat>
            <c:strRef>
              <c:f>(июль!$C$58:$D$58,июль!$E$40:$G$40)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июль!$C$56:$G$56</c:f>
              <c:numCache>
                <c:formatCode>General</c:formatCode>
                <c:ptCount val="5"/>
                <c:pt idx="2" formatCode="#,##0.00">
                  <c:v>3600.1</c:v>
                </c:pt>
                <c:pt idx="3" formatCode="#,##0.00">
                  <c:v>-1455.1</c:v>
                </c:pt>
                <c:pt idx="4" formatCode="#,##0.00">
                  <c:v>-2514.35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0A17-4055-BEBF-F1907C3795E1}"/>
            </c:ext>
          </c:extLst>
        </c:ser>
        <c:ser>
          <c:idx val="13"/>
          <c:order val="3"/>
          <c:tx>
            <c:strRef>
              <c:f>июль!$B$55</c:f>
              <c:strCache>
                <c:ptCount val="1"/>
                <c:pt idx="0">
                  <c:v>Доходы от продажи материальных и нематериальных активов</c:v>
                </c:pt>
              </c:strCache>
            </c:strRef>
          </c:tx>
          <c:cat>
            <c:strRef>
              <c:f>(июль!$C$58:$D$58,июль!$E$40:$G$40)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июль!$C$55:$G$55</c:f>
              <c:numCache>
                <c:formatCode>General</c:formatCode>
                <c:ptCount val="5"/>
                <c:pt idx="2" formatCode="#,##0.00">
                  <c:v>23400</c:v>
                </c:pt>
                <c:pt idx="3" formatCode="#,##0.00">
                  <c:v>46800</c:v>
                </c:pt>
                <c:pt idx="4" formatCode="#,##0.00">
                  <c:v>4211.62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0A17-4055-BEBF-F1907C3795E1}"/>
            </c:ext>
          </c:extLst>
        </c:ser>
        <c:ser>
          <c:idx val="12"/>
          <c:order val="4"/>
          <c:tx>
            <c:strRef>
              <c:f>июль!$B$54</c:f>
              <c:strCache>
                <c:ptCount val="1"/>
                <c:pt idx="0">
                  <c:v>Доходы от оказания платных услуг и компенсации затрат государства</c:v>
                </c:pt>
              </c:strCache>
            </c:strRef>
          </c:tx>
          <c:cat>
            <c:strRef>
              <c:f>(июль!$C$58:$D$58,июль!$E$40:$G$40)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июль!$C$54:$G$54</c:f>
              <c:numCache>
                <c:formatCode>General</c:formatCode>
                <c:ptCount val="5"/>
                <c:pt idx="2" formatCode="#,##0.00">
                  <c:v>1290.3599999999999</c:v>
                </c:pt>
                <c:pt idx="3" formatCode="#,##0.00">
                  <c:v>1290.3599999999999</c:v>
                </c:pt>
                <c:pt idx="4" formatCode="#,##0.00">
                  <c:v>1284.03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0A17-4055-BEBF-F1907C3795E1}"/>
            </c:ext>
          </c:extLst>
        </c:ser>
        <c:ser>
          <c:idx val="11"/>
          <c:order val="5"/>
          <c:tx>
            <c:strRef>
              <c:f>июль!$B$53</c:f>
              <c:strCache>
                <c:ptCount val="1"/>
                <c:pt idx="0">
                  <c:v>Платежи при пользовании природными ресурсами</c:v>
                </c:pt>
              </c:strCache>
            </c:strRef>
          </c:tx>
          <c:spPr>
            <a:solidFill>
              <a:srgbClr val="66FF33"/>
            </a:solidFill>
          </c:spPr>
          <c:cat>
            <c:strRef>
              <c:f>(июль!$C$58:$D$58,июль!$E$40:$G$40)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июль!$C$53:$G$53</c:f>
              <c:numCache>
                <c:formatCode>General</c:formatCode>
                <c:ptCount val="5"/>
                <c:pt idx="2" formatCode="#,##0.00">
                  <c:v>598.72</c:v>
                </c:pt>
                <c:pt idx="3" formatCode="#,##0.00">
                  <c:v>598.72</c:v>
                </c:pt>
                <c:pt idx="4" formatCode="#,##0.00">
                  <c:v>2643.51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0A17-4055-BEBF-F1907C3795E1}"/>
            </c:ext>
          </c:extLst>
        </c:ser>
        <c:ser>
          <c:idx val="10"/>
          <c:order val="6"/>
          <c:tx>
            <c:strRef>
              <c:f>июль!$B$52</c:f>
              <c:strCache>
                <c:ptCount val="1"/>
                <c:pt idx="0">
                  <c:v>Доходы от использования имущества, находящегося в государственной и муниципальной собственности</c:v>
                </c:pt>
              </c:strCache>
            </c:strRef>
          </c:tx>
          <c:spPr>
            <a:solidFill>
              <a:srgbClr val="009999"/>
            </a:solidFill>
          </c:spPr>
          <c:cat>
            <c:strRef>
              <c:f>(июль!$C$58:$D$58,июль!$E$40:$G$40)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июль!$C$52:$G$52</c:f>
              <c:numCache>
                <c:formatCode>General</c:formatCode>
                <c:ptCount val="5"/>
                <c:pt idx="2" formatCode="#,##0.00">
                  <c:v>57702.52</c:v>
                </c:pt>
                <c:pt idx="3" formatCode="#,##0.00">
                  <c:v>57702.52</c:v>
                </c:pt>
                <c:pt idx="4" formatCode="#,##0.00">
                  <c:v>36633.879999999997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0A17-4055-BEBF-F1907C3795E1}"/>
            </c:ext>
          </c:extLst>
        </c:ser>
        <c:ser>
          <c:idx val="9"/>
          <c:order val="7"/>
          <c:tx>
            <c:strRef>
              <c:f>июль!$B$51</c:f>
              <c:strCache>
                <c:ptCount val="1"/>
                <c:pt idx="0">
                  <c:v>Прочие налоговые доходы (госпошлина +задолженность)</c:v>
                </c:pt>
              </c:strCache>
            </c:strRef>
          </c:tx>
          <c:cat>
            <c:strRef>
              <c:f>(июль!$C$58:$D$58,июль!$E$40:$G$40)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июль!$C$51:$G$51</c:f>
              <c:numCache>
                <c:formatCode>General</c:formatCode>
                <c:ptCount val="5"/>
                <c:pt idx="2" formatCode="#,##0.00">
                  <c:v>15600</c:v>
                </c:pt>
                <c:pt idx="3" formatCode="#,##0.00">
                  <c:v>15600</c:v>
                </c:pt>
                <c:pt idx="4" formatCode="#,##0.00">
                  <c:v>10380.869999999999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7-0A17-4055-BEBF-F1907C3795E1}"/>
            </c:ext>
          </c:extLst>
        </c:ser>
        <c:ser>
          <c:idx val="8"/>
          <c:order val="8"/>
          <c:tx>
            <c:strRef>
              <c:f>июль!$B$50</c:f>
              <c:strCache>
                <c:ptCount val="1"/>
                <c:pt idx="0">
                  <c:v>Земельный налог</c:v>
                </c:pt>
              </c:strCache>
            </c:strRef>
          </c:tx>
          <c:spPr>
            <a:solidFill>
              <a:srgbClr val="00FFFF"/>
            </a:solidFill>
          </c:spPr>
          <c:cat>
            <c:strRef>
              <c:f>(июль!$C$58:$D$58,июль!$E$40:$G$40)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июль!$C$50:$G$50</c:f>
              <c:numCache>
                <c:formatCode>General</c:formatCode>
                <c:ptCount val="5"/>
                <c:pt idx="2" formatCode="#,##0.00">
                  <c:v>17786.099999999999</c:v>
                </c:pt>
                <c:pt idx="3" formatCode="#,##0.00">
                  <c:v>17786.099999999999</c:v>
                </c:pt>
                <c:pt idx="4" formatCode="#,##0.00">
                  <c:v>7387.54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0A17-4055-BEBF-F1907C3795E1}"/>
            </c:ext>
          </c:extLst>
        </c:ser>
        <c:ser>
          <c:idx val="7"/>
          <c:order val="9"/>
          <c:tx>
            <c:strRef>
              <c:f>июль!$B$49</c:f>
              <c:strCache>
                <c:ptCount val="1"/>
                <c:pt idx="0">
                  <c:v>Налог на имущество физических лиц</c:v>
                </c:pt>
              </c:strCache>
            </c:strRef>
          </c:tx>
          <c:spPr>
            <a:solidFill>
              <a:srgbClr val="CC0099"/>
            </a:solidFill>
          </c:spPr>
          <c:cat>
            <c:strRef>
              <c:f>(июль!$C$58:$D$58,июль!$E$40:$G$40)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июль!$C$49:$G$49</c:f>
              <c:numCache>
                <c:formatCode>General</c:formatCode>
                <c:ptCount val="5"/>
                <c:pt idx="2" formatCode="#,##0.00">
                  <c:v>24668.5</c:v>
                </c:pt>
                <c:pt idx="3" formatCode="#,##0.00">
                  <c:v>24668.5</c:v>
                </c:pt>
                <c:pt idx="4" formatCode="#,##0.00">
                  <c:v>2759.25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9-0A17-4055-BEBF-F1907C3795E1}"/>
            </c:ext>
          </c:extLst>
        </c:ser>
        <c:ser>
          <c:idx val="6"/>
          <c:order val="10"/>
          <c:tx>
            <c:strRef>
              <c:f>июль!$B$48</c:f>
              <c:strCache>
                <c:ptCount val="1"/>
                <c:pt idx="0">
                  <c:v>Налог, взимаемый в связи с применением патентной системы налогообложения</c:v>
                </c:pt>
              </c:strCache>
            </c:strRef>
          </c:tx>
          <c:cat>
            <c:strRef>
              <c:f>(июль!$C$58:$D$58,июль!$E$40:$G$40)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июль!$C$48:$G$48</c:f>
              <c:numCache>
                <c:formatCode>General</c:formatCode>
                <c:ptCount val="5"/>
                <c:pt idx="2" formatCode="#,##0.00">
                  <c:v>31361.200000000001</c:v>
                </c:pt>
                <c:pt idx="3" formatCode="#,##0.00">
                  <c:v>31361.200000000001</c:v>
                </c:pt>
                <c:pt idx="4" formatCode="#,##0.00">
                  <c:v>15829.82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0A17-4055-BEBF-F1907C3795E1}"/>
            </c:ext>
          </c:extLst>
        </c:ser>
        <c:ser>
          <c:idx val="5"/>
          <c:order val="11"/>
          <c:tx>
            <c:strRef>
              <c:f>июль!$B$47</c:f>
              <c:strCache>
                <c:ptCount val="1"/>
                <c:pt idx="0">
                  <c:v>Единый сельскохозяйственный налог</c:v>
                </c:pt>
              </c:strCache>
            </c:strRef>
          </c:tx>
          <c:spPr>
            <a:solidFill>
              <a:schemeClr val="tx1">
                <a:lumMod val="95000"/>
                <a:lumOff val="5000"/>
              </a:schemeClr>
            </a:solidFill>
          </c:spPr>
          <c:cat>
            <c:strRef>
              <c:f>(июль!$C$58:$D$58,июль!$E$40:$G$40)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июль!$C$47:$G$47</c:f>
              <c:numCache>
                <c:formatCode>General</c:formatCode>
                <c:ptCount val="5"/>
                <c:pt idx="2" formatCode="#,##0.00">
                  <c:v>715</c:v>
                </c:pt>
                <c:pt idx="3" formatCode="#,##0.00">
                  <c:v>715</c:v>
                </c:pt>
                <c:pt idx="4" formatCode="#,##0.00">
                  <c:v>439.97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B-0A17-4055-BEBF-F1907C3795E1}"/>
            </c:ext>
          </c:extLst>
        </c:ser>
        <c:ser>
          <c:idx val="1"/>
          <c:order val="12"/>
          <c:tx>
            <c:strRef>
              <c:f>июль!$B$46</c:f>
              <c:strCache>
                <c:ptCount val="1"/>
                <c:pt idx="0">
                  <c:v>Единый налог на вмененый доход для отдельных видов деятельности</c:v>
                </c:pt>
              </c:strCache>
            </c:strRef>
          </c:tx>
          <c:spPr>
            <a:solidFill>
              <a:srgbClr val="FF66FF"/>
            </a:solidFill>
          </c:spPr>
          <c:cat>
            <c:strRef>
              <c:f>(июль!$C$58:$D$58,июль!$E$40:$G$40)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июль!$C$46:$G$46</c:f>
              <c:numCache>
                <c:formatCode>General</c:formatCode>
                <c:ptCount val="5"/>
                <c:pt idx="2" formatCode="#,##0.00">
                  <c:v>0</c:v>
                </c:pt>
                <c:pt idx="3" formatCode="#,##0.00">
                  <c:v>0</c:v>
                </c:pt>
                <c:pt idx="4" formatCode="#,##0.00">
                  <c:v>-637.65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C-0A17-4055-BEBF-F1907C3795E1}"/>
            </c:ext>
          </c:extLst>
        </c:ser>
        <c:ser>
          <c:idx val="0"/>
          <c:order val="13"/>
          <c:tx>
            <c:strRef>
              <c:f>июль!$B$44</c:f>
              <c:strCache>
                <c:ptCount val="1"/>
                <c:pt idx="0">
                  <c:v>Акцизы по подакцизным товарам</c:v>
                </c:pt>
              </c:strCache>
            </c:strRef>
          </c:tx>
          <c:spPr>
            <a:solidFill>
              <a:srgbClr val="FFFF00"/>
            </a:solidFill>
          </c:spPr>
          <c:cat>
            <c:strRef>
              <c:f>(июль!$C$58:$D$58,июль!$E$40:$G$40)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июль!$C$44:$G$44</c:f>
              <c:numCache>
                <c:formatCode>General</c:formatCode>
                <c:ptCount val="5"/>
                <c:pt idx="2" formatCode="#,##0.00">
                  <c:v>59089.46</c:v>
                </c:pt>
                <c:pt idx="3" formatCode="#,##0.00">
                  <c:v>59089.46</c:v>
                </c:pt>
                <c:pt idx="4" formatCode="#,##0.00">
                  <c:v>37956.32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D-0A17-4055-BEBF-F1907C3795E1}"/>
            </c:ext>
          </c:extLst>
        </c:ser>
        <c:ser>
          <c:idx val="4"/>
          <c:order val="14"/>
          <c:tx>
            <c:strRef>
              <c:f>июль!$B$43</c:f>
              <c:strCache>
                <c:ptCount val="1"/>
                <c:pt idx="0">
                  <c:v>Налог на доходы физических лиц</c:v>
                </c:pt>
              </c:strCache>
            </c:strRef>
          </c:tx>
          <c:spPr>
            <a:solidFill>
              <a:srgbClr val="00B050"/>
            </a:solidFill>
          </c:spPr>
          <c:cat>
            <c:strRef>
              <c:f>(июль!$C$58:$D$58,июль!$E$40:$G$40)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июль!$C$43:$G$43</c:f>
              <c:numCache>
                <c:formatCode>General</c:formatCode>
                <c:ptCount val="5"/>
                <c:pt idx="2" formatCode="#,##0.00">
                  <c:v>356694.6</c:v>
                </c:pt>
                <c:pt idx="3" formatCode="#,##0.00">
                  <c:v>364485.63</c:v>
                </c:pt>
                <c:pt idx="4" formatCode="#,##0.00">
                  <c:v>195616.17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E-0A17-4055-BEBF-F1907C3795E1}"/>
            </c:ext>
          </c:extLst>
        </c:ser>
        <c:ser>
          <c:idx val="3"/>
          <c:order val="15"/>
          <c:tx>
            <c:strRef>
              <c:f>июль!$B$42</c:f>
              <c:strCache>
                <c:ptCount val="1"/>
                <c:pt idx="0">
                  <c:v>Налог на прибыль организаций</c:v>
                </c:pt>
              </c:strCache>
            </c:strRef>
          </c:tx>
          <c:spPr>
            <a:solidFill>
              <a:srgbClr val="FF0000"/>
            </a:solidFill>
          </c:spPr>
          <c:cat>
            <c:strRef>
              <c:f>(июль!$C$58:$D$58,июль!$E$40:$G$40)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июль!$C$42:$G$42</c:f>
              <c:numCache>
                <c:formatCode>General</c:formatCode>
                <c:ptCount val="5"/>
                <c:pt idx="2" formatCode="#,##0.00">
                  <c:v>8631</c:v>
                </c:pt>
                <c:pt idx="3" formatCode="#,##0.00">
                  <c:v>8631</c:v>
                </c:pt>
                <c:pt idx="4" formatCode="#,##0.00">
                  <c:v>9580.9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F-0A17-4055-BEBF-F1907C3795E1}"/>
            </c:ext>
          </c:extLst>
        </c:ser>
        <c:shape val="box"/>
        <c:axId val="75800576"/>
        <c:axId val="75802112"/>
        <c:axId val="0"/>
      </c:bar3DChart>
      <c:catAx>
        <c:axId val="75800576"/>
        <c:scaling>
          <c:orientation val="minMax"/>
        </c:scaling>
        <c:axPos val="b"/>
        <c:numFmt formatCode="General" sourceLinked="0"/>
        <c:tickLblPos val="nextTo"/>
        <c:crossAx val="75802112"/>
        <c:crosses val="autoZero"/>
        <c:auto val="1"/>
        <c:lblAlgn val="ctr"/>
        <c:lblOffset val="100"/>
      </c:catAx>
      <c:valAx>
        <c:axId val="75802112"/>
        <c:scaling>
          <c:orientation val="minMax"/>
        </c:scaling>
        <c:axPos val="l"/>
        <c:majorGridlines/>
        <c:numFmt formatCode="General" sourceLinked="1"/>
        <c:tickLblPos val="nextTo"/>
        <c:crossAx val="7580057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51941914707367387"/>
          <c:y val="5.1423098654660903E-5"/>
          <c:w val="0.43590318732390476"/>
          <c:h val="0.99540632012459207"/>
        </c:manualLayout>
      </c:layout>
    </c:legend>
    <c:plotVisOnly val="1"/>
    <c:dispBlanksAs val="gap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70EB5B8-04C4-4FEA-8064-ACD2B4779D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466</TotalTime>
  <Pages>1</Pages>
  <Words>178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gorfo</Company>
  <LinksUpToDate>false</LinksUpToDate>
  <CharactersWithSpaces>1191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nadya</dc:creator>
  <cp:lastModifiedBy>user11</cp:lastModifiedBy>
  <cp:revision>214</cp:revision>
  <cp:lastPrinted>2023-04-10T04:52:00Z</cp:lastPrinted>
  <dcterms:created xsi:type="dcterms:W3CDTF">2015-04-28T09:35:00Z</dcterms:created>
  <dcterms:modified xsi:type="dcterms:W3CDTF">2023-08-10T05:30:00Z</dcterms:modified>
</cp:coreProperties>
</file>