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646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01.03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646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01.03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46F41">
      <w:r w:rsidRPr="00646F41">
        <w:drawing>
          <wp:inline distT="0" distB="0" distL="0" distR="0">
            <wp:extent cx="7277100" cy="26955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646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01.03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46F41">
      <w:r w:rsidRPr="00646F41">
        <w:drawing>
          <wp:inline distT="0" distB="0" distL="0" distR="0">
            <wp:extent cx="7277100" cy="440055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95400"/>
    <w:rsid w:val="001A4D0A"/>
    <w:rsid w:val="001A78B2"/>
    <w:rsid w:val="001A7B65"/>
    <w:rsid w:val="001B39AC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445D1"/>
    <w:rsid w:val="00565BD7"/>
    <w:rsid w:val="005709F7"/>
    <w:rsid w:val="0057606C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35C3"/>
    <w:rsid w:val="00C02507"/>
    <w:rsid w:val="00C06E1E"/>
    <w:rsid w:val="00C15A32"/>
    <w:rsid w:val="00C24118"/>
    <w:rsid w:val="00C258DC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3.2016\&#1044;&#1086;&#1093;&#1086;&#1076;&#1099;%20&#1085;&#1072;%2001.03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3.2016\&#1044;&#1086;&#1093;&#1086;&#1076;&#1099;%20&#1085;&#1072;%2001.03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392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Февраль!$C$21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Февраль!$D$21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Февраль!$E$21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Февраль!$F$21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</c:numCache>
            </c:numRef>
          </c:val>
        </c:ser>
        <c:marker val="1"/>
        <c:axId val="85097856"/>
        <c:axId val="86426752"/>
      </c:lineChart>
      <c:catAx>
        <c:axId val="85097856"/>
        <c:scaling>
          <c:orientation val="minMax"/>
        </c:scaling>
        <c:axPos val="b"/>
        <c:tickLblPos val="nextTo"/>
        <c:crossAx val="86426752"/>
        <c:crosses val="autoZero"/>
        <c:auto val="1"/>
        <c:lblAlgn val="ctr"/>
        <c:lblOffset val="100"/>
      </c:catAx>
      <c:valAx>
        <c:axId val="86426752"/>
        <c:scaling>
          <c:orientation val="minMax"/>
        </c:scaling>
        <c:axPos val="l"/>
        <c:majorGridlines/>
        <c:numFmt formatCode="#,##0.00" sourceLinked="1"/>
        <c:tickLblPos val="nextTo"/>
        <c:crossAx val="8509785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Февраль!$B$57:$D$57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1336592.7</c:v>
                </c:pt>
                <c:pt idx="2">
                  <c:v>135167.9</c:v>
                </c:pt>
              </c:numCache>
            </c:numRef>
          </c:val>
        </c:ser>
        <c:ser>
          <c:idx val="15"/>
          <c:order val="1"/>
          <c:tx>
            <c:strRef>
              <c:f>Февраль!$B$56:$D$56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656.31</c:v>
                </c:pt>
              </c:numCache>
            </c:numRef>
          </c:val>
        </c:ser>
        <c:ser>
          <c:idx val="14"/>
          <c:order val="2"/>
          <c:tx>
            <c:strRef>
              <c:f>Февраль!$B$55:$D$55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1015.59</c:v>
                </c:pt>
              </c:numCache>
            </c:numRef>
          </c:val>
        </c:ser>
        <c:ser>
          <c:idx val="13"/>
          <c:order val="3"/>
          <c:tx>
            <c:strRef>
              <c:f>Февраль!$B$54:$D$54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308.55</c:v>
                </c:pt>
              </c:numCache>
            </c:numRef>
          </c:val>
        </c:ser>
        <c:ser>
          <c:idx val="12"/>
          <c:order val="4"/>
          <c:tx>
            <c:strRef>
              <c:f>Февраль!$B$53:$D$53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1620.25</c:v>
                </c:pt>
                <c:pt idx="2">
                  <c:v>124.29</c:v>
                </c:pt>
              </c:numCache>
            </c:numRef>
          </c:val>
        </c:ser>
        <c:ser>
          <c:idx val="11"/>
          <c:order val="5"/>
          <c:tx>
            <c:strRef>
              <c:f>Февраль!$B$52:$D$52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123.55</c:v>
                </c:pt>
              </c:numCache>
            </c:numRef>
          </c:val>
        </c:ser>
        <c:ser>
          <c:idx val="10"/>
          <c:order val="6"/>
          <c:tx>
            <c:strRef>
              <c:f>Февраль!$B$51:$D$51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6305.76</c:v>
                </c:pt>
              </c:numCache>
            </c:numRef>
          </c:val>
        </c:ser>
        <c:ser>
          <c:idx val="9"/>
          <c:order val="7"/>
          <c:tx>
            <c:strRef>
              <c:f>Февраль!$B$50:$D$50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2104.12</c:v>
                </c:pt>
              </c:numCache>
            </c:numRef>
          </c:val>
        </c:ser>
        <c:ser>
          <c:idx val="8"/>
          <c:order val="8"/>
          <c:tx>
            <c:strRef>
              <c:f>Февраль!$B$49:$D$49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2111.3000000000002</c:v>
                </c:pt>
              </c:numCache>
            </c:numRef>
          </c:val>
        </c:ser>
        <c:ser>
          <c:idx val="7"/>
          <c:order val="9"/>
          <c:tx>
            <c:strRef>
              <c:f>Февраль!$B$48:$D$48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263.93</c:v>
                </c:pt>
              </c:numCache>
            </c:numRef>
          </c:val>
        </c:ser>
        <c:ser>
          <c:idx val="6"/>
          <c:order val="10"/>
          <c:tx>
            <c:strRef>
              <c:f>Февраль!$B$47:$D$47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123.98</c:v>
                </c:pt>
              </c:numCache>
            </c:numRef>
          </c:val>
        </c:ser>
        <c:ser>
          <c:idx val="5"/>
          <c:order val="11"/>
          <c:tx>
            <c:strRef>
              <c:f>Февраль!$B$46:$D$46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65</c:v>
                </c:pt>
              </c:numCache>
            </c:numRef>
          </c:val>
        </c:ser>
        <c:ser>
          <c:idx val="1"/>
          <c:order val="12"/>
          <c:tx>
            <c:strRef>
              <c:f>Февраль!$B$45:$D$45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8619.76</c:v>
                </c:pt>
              </c:numCache>
            </c:numRef>
          </c:val>
        </c:ser>
        <c:ser>
          <c:idx val="0"/>
          <c:order val="13"/>
          <c:tx>
            <c:strRef>
              <c:f>Февраль!$B$44:$D$44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1543.65</c:v>
                </c:pt>
              </c:numCache>
            </c:numRef>
          </c:val>
        </c:ser>
        <c:ser>
          <c:idx val="4"/>
          <c:order val="14"/>
          <c:tx>
            <c:strRef>
              <c:f>Февраль!$B$43:$D$43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26510.71</c:v>
                </c:pt>
              </c:numCache>
            </c:numRef>
          </c:val>
        </c:ser>
        <c:ser>
          <c:idx val="3"/>
          <c:order val="15"/>
          <c:tx>
            <c:strRef>
              <c:f>Февраль!$B$42:$D$42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71.88</c:v>
                </c:pt>
              </c:numCache>
            </c:numRef>
          </c:val>
        </c:ser>
        <c:shape val="box"/>
        <c:axId val="96302976"/>
        <c:axId val="104597376"/>
        <c:axId val="0"/>
      </c:bar3DChart>
      <c:catAx>
        <c:axId val="96302976"/>
        <c:scaling>
          <c:orientation val="minMax"/>
        </c:scaling>
        <c:axPos val="b"/>
        <c:tickLblPos val="nextTo"/>
        <c:crossAx val="104597376"/>
        <c:crosses val="autoZero"/>
        <c:auto val="1"/>
        <c:lblAlgn val="ctr"/>
        <c:lblOffset val="100"/>
      </c:catAx>
      <c:valAx>
        <c:axId val="104597376"/>
        <c:scaling>
          <c:orientation val="minMax"/>
        </c:scaling>
        <c:axPos val="l"/>
        <c:majorGridlines/>
        <c:numFmt formatCode="#,##0.00" sourceLinked="1"/>
        <c:tickLblPos val="nextTo"/>
        <c:crossAx val="963029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09E-3"/>
          <c:w val="0.4359031873238720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32</cp:revision>
  <cp:lastPrinted>2016-01-22T07:09:00Z</cp:lastPrinted>
  <dcterms:created xsi:type="dcterms:W3CDTF">2015-04-28T09:35:00Z</dcterms:created>
  <dcterms:modified xsi:type="dcterms:W3CDTF">2016-03-10T02:27:00Z</dcterms:modified>
</cp:coreProperties>
</file>